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9A" w:rsidRPr="00CF0ACC" w:rsidRDefault="00B0619A" w:rsidP="00B0619A">
      <w:pPr>
        <w:spacing w:after="0" w:line="360" w:lineRule="auto"/>
        <w:jc w:val="right"/>
        <w:rPr>
          <w:rFonts w:ascii="GHEA Grapalat" w:hAnsi="GHEA Grapalat"/>
          <w:lang w:val="hy-AM"/>
        </w:rPr>
      </w:pPr>
      <w:bookmarkStart w:id="0" w:name="_GoBack"/>
      <w:bookmarkEnd w:id="0"/>
      <w:r w:rsidRPr="00CF0ACC">
        <w:rPr>
          <w:rFonts w:ascii="GHEA Grapalat" w:hAnsi="GHEA Grapalat"/>
          <w:lang w:val="hy-AM"/>
        </w:rPr>
        <w:t>Հավելված</w:t>
      </w:r>
    </w:p>
    <w:p w:rsidR="00B0619A" w:rsidRPr="00CF0ACC" w:rsidRDefault="00B0619A" w:rsidP="00B0619A">
      <w:pPr>
        <w:spacing w:after="0"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Վայոց ձորի մարզի </w:t>
      </w:r>
      <w:r>
        <w:rPr>
          <w:rFonts w:ascii="GHEA Grapalat" w:hAnsi="GHEA Grapalat"/>
          <w:lang w:val="hy-AM"/>
        </w:rPr>
        <w:br/>
        <w:t xml:space="preserve">Եղեգնաձոր </w:t>
      </w:r>
      <w:r w:rsidRPr="00CF0ACC">
        <w:rPr>
          <w:rFonts w:ascii="GHEA Grapalat" w:hAnsi="GHEA Grapalat"/>
          <w:lang w:val="hy-AM"/>
        </w:rPr>
        <w:t>համայնքի ավագանու</w:t>
      </w:r>
    </w:p>
    <w:p w:rsidR="00B0619A" w:rsidRPr="00CF0ACC" w:rsidRDefault="00B0619A" w:rsidP="00B0619A">
      <w:pPr>
        <w:spacing w:after="0"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2022 թվականի մարտի 10-ի</w:t>
      </w:r>
      <w:r w:rsidRPr="00CF0ACC">
        <w:rPr>
          <w:rFonts w:ascii="GHEA Grapalat" w:hAnsi="GHEA Grapalat"/>
          <w:lang w:val="hy-AM"/>
        </w:rPr>
        <w:t xml:space="preserve"> </w:t>
      </w:r>
    </w:p>
    <w:p w:rsidR="00B0619A" w:rsidRPr="00CF0ACC" w:rsidRDefault="00B0619A" w:rsidP="00B0619A">
      <w:pPr>
        <w:spacing w:after="0"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Թիվ 27</w:t>
      </w:r>
      <w:r w:rsidRPr="00CF0ACC">
        <w:rPr>
          <w:rFonts w:ascii="GHEA Grapalat" w:hAnsi="GHEA Grapalat"/>
          <w:lang w:val="hy-AM"/>
        </w:rPr>
        <w:t>-Լ որոշման</w:t>
      </w:r>
    </w:p>
    <w:p w:rsidR="00B0619A" w:rsidRPr="00CF0ACC" w:rsidRDefault="00B0619A" w:rsidP="00B0619A">
      <w:pPr>
        <w:spacing w:after="0" w:line="360" w:lineRule="auto"/>
        <w:jc w:val="right"/>
        <w:rPr>
          <w:rFonts w:ascii="GHEA Grapalat" w:hAnsi="GHEA Grapalat"/>
          <w:lang w:val="hy-AM"/>
        </w:rPr>
      </w:pPr>
    </w:p>
    <w:p w:rsidR="00B0619A" w:rsidRPr="00CF0ACC" w:rsidRDefault="00B0619A" w:rsidP="00B0619A">
      <w:pPr>
        <w:spacing w:after="0" w:line="360" w:lineRule="auto"/>
        <w:jc w:val="right"/>
        <w:rPr>
          <w:rFonts w:ascii="GHEA Grapalat" w:hAnsi="GHEA Grapalat"/>
          <w:lang w:val="hy-AM"/>
        </w:rPr>
      </w:pPr>
    </w:p>
    <w:p w:rsidR="00B0619A" w:rsidRPr="00CF0ACC" w:rsidRDefault="00B0619A" w:rsidP="00B061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0ACC">
        <w:rPr>
          <w:rFonts w:ascii="GHEA Grapalat" w:hAnsi="GHEA Grapalat"/>
          <w:b/>
          <w:sz w:val="24"/>
          <w:szCs w:val="24"/>
          <w:lang w:val="hy-AM"/>
        </w:rPr>
        <w:t>ԿԱՐԳ</w:t>
      </w:r>
    </w:p>
    <w:p w:rsidR="00B0619A" w:rsidRPr="00CF0ACC" w:rsidRDefault="00933B2D" w:rsidP="00B061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ԵՂԵԳՆԱՁՈՐ ՀԱՄԱՅՆՔԻ </w:t>
      </w:r>
      <w:r w:rsidR="00B0619A" w:rsidRPr="00CF0ACC">
        <w:rPr>
          <w:rFonts w:ascii="GHEA Grapalat" w:hAnsi="GHEA Grapalat"/>
          <w:b/>
          <w:bCs/>
          <w:sz w:val="24"/>
          <w:szCs w:val="24"/>
          <w:lang w:val="hy-AM"/>
        </w:rPr>
        <w:t xml:space="preserve">ՏԵՂԱԿԱՆ ԻՆՔՆԱԿԱՌԱՎԱՐՄԱՆ ՄԱՐՄԻՆՆԵՐԻ ԿՈՂՄԻՑ  ԸՆԴՈՒՆՎԱԾ </w:t>
      </w:r>
      <w:r w:rsidR="00B0619A" w:rsidRPr="00CF0ACC">
        <w:rPr>
          <w:rFonts w:ascii="GHEA Grapalat" w:hAnsi="GHEA Grapalat"/>
          <w:b/>
          <w:sz w:val="24"/>
          <w:szCs w:val="24"/>
          <w:lang w:val="hy-AM"/>
        </w:rPr>
        <w:t xml:space="preserve">ՆՈՐՄԱՏԻՎ ԻՐԱՎԱԿԱՆ ԱԿՏԵՐԻ ՀԱՇՎԱՌՄԱՆ ԵՎ ՊԱՀՊԱՆՄԱՆ </w:t>
      </w:r>
    </w:p>
    <w:p w:rsidR="00B0619A" w:rsidRPr="00CF0ACC" w:rsidRDefault="00B0619A" w:rsidP="00B0619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0619A" w:rsidRPr="00CF0ACC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1. Սույն կարգով կարգավորվում են</w:t>
      </w:r>
      <w:r w:rsidRPr="00CF0ACC">
        <w:rPr>
          <w:rFonts w:ascii="GHEA Grapalat" w:hAnsi="GHEA Grapalat"/>
          <w:sz w:val="24"/>
          <w:lang w:val="hy-AM"/>
        </w:rPr>
        <w:t xml:space="preserve"> </w:t>
      </w:r>
      <w:r w:rsidRPr="00CF0ACC">
        <w:rPr>
          <w:rFonts w:ascii="GHEA Grapalat" w:hAnsi="GHEA Grapalat"/>
          <w:sz w:val="24"/>
          <w:szCs w:val="24"/>
          <w:lang w:val="hy-AM"/>
        </w:rPr>
        <w:t>տ</w:t>
      </w:r>
      <w:r w:rsidRPr="00CF0ACC">
        <w:rPr>
          <w:rFonts w:ascii="GHEA Grapalat" w:hAnsi="GHEA Grapalat"/>
          <w:bCs/>
          <w:sz w:val="24"/>
          <w:szCs w:val="24"/>
          <w:lang w:val="hy-AM"/>
        </w:rPr>
        <w:t xml:space="preserve">եղական ինքնակառավարման մարմինների կողմից  ընդունված </w:t>
      </w:r>
      <w:r w:rsidRPr="00CF0ACC">
        <w:rPr>
          <w:rFonts w:ascii="GHEA Grapalat" w:hAnsi="GHEA Grapalat"/>
          <w:sz w:val="24"/>
          <w:szCs w:val="24"/>
          <w:lang w:val="hy-AM"/>
        </w:rPr>
        <w:t>նորմատիվ իրավական ակտերի հաշվառման և պահպանման հետ կապված հարաբերությունները։</w:t>
      </w:r>
    </w:p>
    <w:p w:rsidR="00B0619A" w:rsidRPr="00CF0ACC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 xml:space="preserve">2.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Վայոց ձորի մարզի Եղեգնաձորի համայնքապետարանի</w:t>
      </w:r>
      <w:r w:rsidRPr="00CF0ACC">
        <w:rPr>
          <w:rFonts w:ascii="GHEA Grapalat" w:hAnsi="GHEA Grapalat"/>
          <w:sz w:val="24"/>
          <w:szCs w:val="24"/>
          <w:lang w:val="hy-AM"/>
        </w:rPr>
        <w:t xml:space="preserve"> աշխատակազմը պարտավոր է պահել տ</w:t>
      </w:r>
      <w:r w:rsidRPr="00CF0ACC">
        <w:rPr>
          <w:rFonts w:ascii="GHEA Grapalat" w:hAnsi="GHEA Grapalat"/>
          <w:bCs/>
          <w:sz w:val="24"/>
          <w:szCs w:val="24"/>
          <w:lang w:val="hy-AM"/>
        </w:rPr>
        <w:t xml:space="preserve">եղական ինքնակառավարման մարմինների կողմից ընդունված </w:t>
      </w:r>
      <w:r w:rsidRPr="00CF0ACC">
        <w:rPr>
          <w:rFonts w:ascii="GHEA Grapalat" w:hAnsi="GHEA Grapalat"/>
          <w:sz w:val="24"/>
          <w:szCs w:val="24"/>
          <w:lang w:val="hy-AM"/>
        </w:rPr>
        <w:t>նորմատիվ իրավական ակտերի հաշվառման  միասնական էլեկտրոնային մատյան (այսուհետ` մատյան)։</w:t>
      </w:r>
    </w:p>
    <w:p w:rsidR="00B0619A" w:rsidRPr="00CF0ACC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3. Մատյանում ըստ հերթականության լրացվում են՝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 xml:space="preserve">նորմատիվ իրավական ակտի հաշվառման հերթական համարը. 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 xml:space="preserve">նորմատիվ իրավական ակտն ընդունող մարմինը. 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 xml:space="preserve">նորմատիվ իրավական ակտի տեսակը. 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 xml:space="preserve">նորմատիվ իրավական ակտի վերնագիրը. 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 xml:space="preserve">նորմատիվ իրավական ակտի ընդունման տարին, ամիսը (տառերով), ամսաթիվը. 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 xml:space="preserve">նորմատիվ իրավական ակտի հերթական համարը. 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lastRenderedPageBreak/>
        <w:t xml:space="preserve">նորմատիվ իրավական ակտի ստորագրման տարին, ամիսը (տառերով), ամսաթիվը. 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 xml:space="preserve">նորմատիվ իրավական ակտի հրապարակման, դրա ուժի մեջ մտնելու տարին, ամիսը (տառերով), ամսաթիվը. 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նորմատիվ իրավական ակտի գործողության դադարեցման տարին, ամիսը (տառերով), ամսաթիվը: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նորմատիվ իրավական ակտի նախագիծը պետական-իրավական փորձաքննության ուղարկելու տարին, ամիսը (տառերով), ամսաթիվը,</w:t>
      </w:r>
    </w:p>
    <w:p w:rsidR="00B0619A" w:rsidRPr="00CF0ACC" w:rsidRDefault="00B0619A" w:rsidP="00B0619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նորմատիվ իրավական ակտի նախագծի մասին պետական-իրավական փորձագիտական եզրակացություն տալու տարին, ամիսը (տառերով), ամսաթիվը, իսկ օրենքով սահմանված ժամկետներում փորձագիտական եզրակացություն չտրամադրելու դեպքում՝ նշում այդ մասին:</w:t>
      </w:r>
    </w:p>
    <w:p w:rsidR="00B0619A" w:rsidRPr="00CF0ACC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4.Պետական-իրավական փորձաքննության ոչ ենթակա համայնքային բյուջեների վերաբաշխման,</w:t>
      </w:r>
      <w:r w:rsidRPr="00CF0ACC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CF0ACC">
        <w:rPr>
          <w:rFonts w:ascii="Courier New" w:hAnsi="Courier New" w:cs="Courier New"/>
          <w:sz w:val="24"/>
          <w:szCs w:val="24"/>
          <w:lang w:val="hy-AM"/>
        </w:rPr>
        <w:t> </w:t>
      </w:r>
      <w:r w:rsidRPr="00CF0ACC">
        <w:rPr>
          <w:rFonts w:ascii="GHEA Grapalat" w:hAnsi="GHEA Grapalat"/>
          <w:sz w:val="24"/>
          <w:szCs w:val="24"/>
          <w:lang w:val="hy-AM"/>
        </w:rPr>
        <w:t>դրանում առաջարկվող փոփոխությունների, ինչպես նաև բյուջեի կատարումն ապահովող միջոցառումների վերաբերյալ համայնքի ավագանու կողմից ընդունված նորմատիվ իրավական ակտերը միասնական էլեկտրոնային մատյանում հաշվառելիս սույն կարգի 3-րդ կետի 10-րդ և 11-րդ ենթակետերով պահանջվող տեղեկատվությունը չի նշվում:</w:t>
      </w:r>
    </w:p>
    <w:p w:rsidR="00B0619A" w:rsidRPr="00CF0ACC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5. Մատյաններում կարող են նախատեսվել նաև այլ նշումներ։</w:t>
      </w:r>
    </w:p>
    <w:p w:rsidR="00B0619A" w:rsidRPr="00CF0ACC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6. Մատյանի հաշվառման համարների հերթականությունը վերսկսվում է յուրաքանչյուր տարվա հունվարի 1-ից։</w:t>
      </w:r>
    </w:p>
    <w:p w:rsidR="00B0619A" w:rsidRPr="00CF0ACC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7. Մատյանում նշումները պետք է կատարվեն առանց կրճատումների:</w:t>
      </w:r>
    </w:p>
    <w:p w:rsidR="00B0619A" w:rsidRPr="00CF0ACC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8. Տ</w:t>
      </w:r>
      <w:r w:rsidRPr="00CF0ACC">
        <w:rPr>
          <w:rFonts w:ascii="GHEA Grapalat" w:hAnsi="GHEA Grapalat"/>
          <w:bCs/>
          <w:sz w:val="24"/>
          <w:szCs w:val="24"/>
          <w:lang w:val="hy-AM"/>
        </w:rPr>
        <w:t xml:space="preserve">եղական ինքնակառավարման մարմինների կողմից  ընդունված </w:t>
      </w:r>
      <w:r w:rsidRPr="00CF0ACC">
        <w:rPr>
          <w:rFonts w:ascii="GHEA Grapalat" w:hAnsi="GHEA Grapalat"/>
          <w:sz w:val="24"/>
          <w:szCs w:val="24"/>
          <w:lang w:val="hy-AM"/>
        </w:rPr>
        <w:t>նորմատիվ իրավական ակտերը հաշվառվում, այնուհետև սահմանված կարգով արխիվացվում և պահպանվում են համայնքի աշխատակազմի արխիվում, իսկ սահմանված ժամկետների ավարտից հետո մշտական պահպանության է հանձնվում պետական կամ համայնքային արխիվ:</w:t>
      </w:r>
    </w:p>
    <w:p w:rsidR="00B0619A" w:rsidRPr="00CF0ACC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lastRenderedPageBreak/>
        <w:t>9. Սույն կարգը տարածվում է նաև տեղական ինքնակառավարման մարմինների կողմից ընդունված ներքին (լոկալ) և անհատական իրավական ակտերի հաշվառման և պահպանման վրա:</w:t>
      </w:r>
    </w:p>
    <w:p w:rsidR="00B0619A" w:rsidRPr="00CF0ACC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10. Տ</w:t>
      </w:r>
      <w:r w:rsidRPr="00CF0ACC">
        <w:rPr>
          <w:rFonts w:ascii="GHEA Grapalat" w:hAnsi="GHEA Grapalat"/>
          <w:bCs/>
          <w:sz w:val="24"/>
          <w:szCs w:val="24"/>
          <w:lang w:val="hy-AM"/>
        </w:rPr>
        <w:t xml:space="preserve">եղական ինքնակառավարման մարմինների կողմից  ընդունված </w:t>
      </w:r>
      <w:r w:rsidRPr="00CF0ACC">
        <w:rPr>
          <w:rFonts w:ascii="GHEA Grapalat" w:hAnsi="GHEA Grapalat"/>
          <w:sz w:val="24"/>
          <w:szCs w:val="24"/>
          <w:lang w:val="hy-AM"/>
        </w:rPr>
        <w:t>նորմատիվ իրավական ակտերի հաշվառման մատյանից տեղեկություններ կարող են տրամադրվել իրավաբանական և ֆիզիկական անձանց: Մատյանից գրավոր տեղեկություններ կարող են տրվել առձեռն, փոստով, ինչպես նաև էլեկտրոնային կապի այլ միջոցներով:</w:t>
      </w:r>
    </w:p>
    <w:p w:rsidR="00B0619A" w:rsidRDefault="00B0619A" w:rsidP="00B0619A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0ACC">
        <w:rPr>
          <w:rFonts w:ascii="GHEA Grapalat" w:hAnsi="GHEA Grapalat"/>
          <w:sz w:val="24"/>
          <w:szCs w:val="24"/>
          <w:lang w:val="hy-AM"/>
        </w:rPr>
        <w:t>11. Մատյանից տեղեկություններ տալու համար համայնքի ավագանու որոշմամբ  սահմանված կարգով և չափով կարող է գանձվել տեղական վճար:</w:t>
      </w:r>
    </w:p>
    <w:p w:rsidR="005929F4" w:rsidRPr="00B0619A" w:rsidRDefault="005929F4">
      <w:pPr>
        <w:rPr>
          <w:lang w:val="hy-AM"/>
        </w:rPr>
      </w:pPr>
    </w:p>
    <w:sectPr w:rsidR="005929F4" w:rsidRPr="00B06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67F03"/>
    <w:multiLevelType w:val="hybridMultilevel"/>
    <w:tmpl w:val="D9C04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77"/>
    <w:rsid w:val="00400377"/>
    <w:rsid w:val="005929F4"/>
    <w:rsid w:val="00933B2D"/>
    <w:rsid w:val="00AA64AA"/>
    <w:rsid w:val="00B0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9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9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dcterms:created xsi:type="dcterms:W3CDTF">2022-07-25T16:41:00Z</dcterms:created>
  <dcterms:modified xsi:type="dcterms:W3CDTF">2022-07-25T16:41:00Z</dcterms:modified>
</cp:coreProperties>
</file>